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ABC67" w14:textId="2E070E29" w:rsidR="00C62054" w:rsidRDefault="00C62054" w:rsidP="00C62054">
      <w:pPr>
        <w:pStyle w:val="Standard"/>
        <w:ind w:right="-1044"/>
        <w:jc w:val="both"/>
      </w:pPr>
      <w:bookmarkStart w:id="0" w:name="_GoBack"/>
      <w:bookmarkEnd w:id="0"/>
      <w:proofErr w:type="spellStart"/>
      <w:r>
        <w:rPr>
          <w:rFonts w:cs="Arial"/>
          <w:sz w:val="22"/>
          <w:szCs w:val="22"/>
        </w:rPr>
        <w:t>На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основу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Решења</w:t>
      </w:r>
      <w:proofErr w:type="spellEnd"/>
      <w:r>
        <w:rPr>
          <w:rFonts w:cs="Arial"/>
          <w:sz w:val="22"/>
          <w:szCs w:val="22"/>
        </w:rPr>
        <w:t xml:space="preserve"> o </w:t>
      </w:r>
      <w:proofErr w:type="spellStart"/>
      <w:r>
        <w:rPr>
          <w:rFonts w:cs="Arial"/>
          <w:sz w:val="22"/>
          <w:szCs w:val="22"/>
        </w:rPr>
        <w:t>банкротству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стечајног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судије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Привредног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суда</w:t>
      </w:r>
      <w:proofErr w:type="spellEnd"/>
      <w:r>
        <w:rPr>
          <w:rFonts w:cs="Arial"/>
          <w:sz w:val="22"/>
          <w:szCs w:val="22"/>
        </w:rPr>
        <w:t xml:space="preserve"> у </w:t>
      </w:r>
      <w:proofErr w:type="spellStart"/>
      <w:r>
        <w:rPr>
          <w:rFonts w:cs="Arial"/>
          <w:sz w:val="22"/>
          <w:szCs w:val="22"/>
        </w:rPr>
        <w:t>Панчеву</w:t>
      </w:r>
      <w:proofErr w:type="spellEnd"/>
      <w:r>
        <w:rPr>
          <w:rFonts w:cs="Arial"/>
          <w:sz w:val="22"/>
          <w:szCs w:val="22"/>
        </w:rPr>
        <w:t xml:space="preserve"> Ст.бр.525/2010 </w:t>
      </w:r>
      <w:proofErr w:type="spellStart"/>
      <w:r>
        <w:rPr>
          <w:rFonts w:cs="Arial"/>
          <w:sz w:val="22"/>
          <w:szCs w:val="22"/>
        </w:rPr>
        <w:t>од</w:t>
      </w:r>
      <w:proofErr w:type="spellEnd"/>
      <w:r>
        <w:rPr>
          <w:rFonts w:cs="Arial"/>
          <w:sz w:val="22"/>
          <w:szCs w:val="22"/>
        </w:rPr>
        <w:t xml:space="preserve"> 06.07.2011.године, а у </w:t>
      </w:r>
      <w:proofErr w:type="spellStart"/>
      <w:r>
        <w:rPr>
          <w:rFonts w:cs="Arial"/>
          <w:sz w:val="22"/>
          <w:szCs w:val="22"/>
        </w:rPr>
        <w:t>складу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са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чланoвима</w:t>
      </w:r>
      <w:proofErr w:type="spellEnd"/>
      <w:r>
        <w:rPr>
          <w:rFonts w:cs="Arial"/>
          <w:sz w:val="22"/>
          <w:szCs w:val="22"/>
        </w:rPr>
        <w:t xml:space="preserve"> 131, </w:t>
      </w:r>
      <w:r>
        <w:rPr>
          <w:rFonts w:cs="Arial"/>
          <w:sz w:val="22"/>
          <w:szCs w:val="22"/>
          <w:lang w:val="ru-RU"/>
        </w:rPr>
        <w:t xml:space="preserve">132. и </w:t>
      </w:r>
      <w:r>
        <w:rPr>
          <w:rFonts w:cs="Arial"/>
          <w:sz w:val="22"/>
          <w:szCs w:val="22"/>
        </w:rPr>
        <w:t xml:space="preserve">133. </w:t>
      </w:r>
      <w:proofErr w:type="spellStart"/>
      <w:r>
        <w:rPr>
          <w:rFonts w:cs="Arial"/>
          <w:sz w:val="22"/>
          <w:szCs w:val="22"/>
        </w:rPr>
        <w:t>Закона</w:t>
      </w:r>
      <w:proofErr w:type="spellEnd"/>
      <w:r>
        <w:rPr>
          <w:rFonts w:cs="Arial"/>
          <w:sz w:val="22"/>
          <w:szCs w:val="22"/>
        </w:rPr>
        <w:t xml:space="preserve"> о </w:t>
      </w:r>
      <w:proofErr w:type="spellStart"/>
      <w:r>
        <w:rPr>
          <w:rFonts w:cs="Arial"/>
          <w:sz w:val="22"/>
          <w:szCs w:val="22"/>
        </w:rPr>
        <w:t>стечају</w:t>
      </w:r>
      <w:proofErr w:type="spellEnd"/>
      <w:r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(“</w:t>
      </w:r>
      <w:proofErr w:type="spellStart"/>
      <w:r>
        <w:rPr>
          <w:sz w:val="22"/>
          <w:szCs w:val="22"/>
        </w:rPr>
        <w:t>Службени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гласник</w:t>
      </w:r>
      <w:proofErr w:type="spellEnd"/>
      <w:proofErr w:type="gramStart"/>
      <w:r>
        <w:rPr>
          <w:sz w:val="22"/>
          <w:szCs w:val="22"/>
        </w:rPr>
        <w:t xml:space="preserve">  </w:t>
      </w:r>
      <w:proofErr w:type="spellStart"/>
      <w:r>
        <w:rPr>
          <w:sz w:val="22"/>
          <w:szCs w:val="22"/>
        </w:rPr>
        <w:t>Републике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Србије</w:t>
      </w:r>
      <w:proofErr w:type="spellEnd"/>
      <w:r>
        <w:rPr>
          <w:sz w:val="22"/>
          <w:szCs w:val="22"/>
          <w:lang w:val="sr-Cyrl-RS"/>
        </w:rPr>
        <w:t>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104/2009</w:t>
      </w:r>
      <w:r>
        <w:rPr>
          <w:sz w:val="22"/>
          <w:szCs w:val="22"/>
          <w:lang w:val="sr-Cyrl-RS"/>
        </w:rPr>
        <w:t xml:space="preserve">,99/2011 – </w:t>
      </w:r>
      <w:proofErr w:type="spellStart"/>
      <w:r>
        <w:rPr>
          <w:sz w:val="22"/>
          <w:szCs w:val="22"/>
          <w:lang w:val="sr-Cyrl-RS"/>
        </w:rPr>
        <w:t>др.закон</w:t>
      </w:r>
      <w:proofErr w:type="spellEnd"/>
      <w:r>
        <w:rPr>
          <w:sz w:val="22"/>
          <w:szCs w:val="22"/>
          <w:lang w:val="sr-Cyrl-RS"/>
        </w:rPr>
        <w:t>, 71/2012 – одлука УС, 83/2014,113/2017,44/2018 и 95/2018</w:t>
      </w:r>
      <w:r>
        <w:rPr>
          <w:rFonts w:cs="Arial"/>
          <w:sz w:val="22"/>
          <w:szCs w:val="22"/>
        </w:rPr>
        <w:t xml:space="preserve">) и </w:t>
      </w:r>
      <w:proofErr w:type="spellStart"/>
      <w:r>
        <w:rPr>
          <w:rFonts w:cs="Arial"/>
          <w:sz w:val="22"/>
          <w:szCs w:val="22"/>
        </w:rPr>
        <w:t>Националним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стандардом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број</w:t>
      </w:r>
      <w:proofErr w:type="spellEnd"/>
      <w:r>
        <w:rPr>
          <w:rFonts w:cs="Arial"/>
          <w:sz w:val="22"/>
          <w:szCs w:val="22"/>
        </w:rPr>
        <w:t xml:space="preserve"> 5 – </w:t>
      </w:r>
      <w:proofErr w:type="spellStart"/>
      <w:r>
        <w:rPr>
          <w:rFonts w:cs="Arial"/>
          <w:sz w:val="22"/>
          <w:szCs w:val="22"/>
        </w:rPr>
        <w:t>Национални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стандард</w:t>
      </w:r>
      <w:proofErr w:type="spellEnd"/>
      <w:r>
        <w:rPr>
          <w:rFonts w:cs="Arial"/>
          <w:sz w:val="22"/>
          <w:szCs w:val="22"/>
        </w:rPr>
        <w:t xml:space="preserve"> о </w:t>
      </w:r>
      <w:proofErr w:type="spellStart"/>
      <w:r>
        <w:rPr>
          <w:rFonts w:cs="Arial"/>
          <w:sz w:val="22"/>
          <w:szCs w:val="22"/>
        </w:rPr>
        <w:t>начину</w:t>
      </w:r>
      <w:proofErr w:type="spellEnd"/>
      <w:r>
        <w:rPr>
          <w:rFonts w:cs="Arial"/>
          <w:sz w:val="22"/>
          <w:szCs w:val="22"/>
        </w:rPr>
        <w:t xml:space="preserve"> и </w:t>
      </w:r>
      <w:proofErr w:type="spellStart"/>
      <w:r>
        <w:rPr>
          <w:rFonts w:cs="Arial"/>
          <w:sz w:val="22"/>
          <w:szCs w:val="22"/>
        </w:rPr>
        <w:t>поступку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уновчења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имовине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стечајног</w:t>
      </w:r>
      <w:proofErr w:type="spellEnd"/>
      <w:r>
        <w:rPr>
          <w:rFonts w:cs="Arial"/>
          <w:sz w:val="22"/>
          <w:szCs w:val="22"/>
        </w:rPr>
        <w:t xml:space="preserve"> («</w:t>
      </w:r>
      <w:proofErr w:type="spellStart"/>
      <w:r>
        <w:rPr>
          <w:rFonts w:cs="Arial"/>
          <w:i/>
          <w:sz w:val="22"/>
          <w:szCs w:val="22"/>
        </w:rPr>
        <w:t>Службени</w:t>
      </w:r>
      <w:proofErr w:type="spellEnd"/>
      <w:r>
        <w:rPr>
          <w:rFonts w:cs="Arial"/>
          <w:i/>
          <w:sz w:val="22"/>
          <w:szCs w:val="22"/>
        </w:rPr>
        <w:t xml:space="preserve"> </w:t>
      </w:r>
      <w:proofErr w:type="spellStart"/>
      <w:r>
        <w:rPr>
          <w:rFonts w:cs="Arial"/>
          <w:i/>
          <w:sz w:val="22"/>
          <w:szCs w:val="22"/>
        </w:rPr>
        <w:t>гласник</w:t>
      </w:r>
      <w:proofErr w:type="spellEnd"/>
      <w:r>
        <w:rPr>
          <w:rFonts w:cs="Arial"/>
          <w:i/>
          <w:sz w:val="22"/>
          <w:szCs w:val="22"/>
        </w:rPr>
        <w:t xml:space="preserve"> </w:t>
      </w:r>
      <w:proofErr w:type="spellStart"/>
      <w:r>
        <w:rPr>
          <w:rFonts w:cs="Arial"/>
          <w:i/>
          <w:sz w:val="22"/>
          <w:szCs w:val="22"/>
        </w:rPr>
        <w:t>Републике</w:t>
      </w:r>
      <w:proofErr w:type="spellEnd"/>
      <w:r>
        <w:rPr>
          <w:rFonts w:cs="Arial"/>
          <w:i/>
          <w:sz w:val="22"/>
          <w:szCs w:val="22"/>
        </w:rPr>
        <w:t xml:space="preserve"> </w:t>
      </w:r>
      <w:proofErr w:type="spellStart"/>
      <w:r>
        <w:rPr>
          <w:rFonts w:cs="Arial"/>
          <w:i/>
          <w:sz w:val="22"/>
          <w:szCs w:val="22"/>
        </w:rPr>
        <w:t>Србије</w:t>
      </w:r>
      <w:proofErr w:type="spellEnd"/>
      <w:r>
        <w:rPr>
          <w:rFonts w:cs="Arial"/>
          <w:i/>
          <w:sz w:val="22"/>
          <w:szCs w:val="22"/>
        </w:rPr>
        <w:t xml:space="preserve">» </w:t>
      </w:r>
      <w:proofErr w:type="spellStart"/>
      <w:r>
        <w:rPr>
          <w:rFonts w:cs="Arial"/>
          <w:i/>
          <w:sz w:val="22"/>
          <w:szCs w:val="22"/>
        </w:rPr>
        <w:t>број</w:t>
      </w:r>
      <w:proofErr w:type="spellEnd"/>
      <w:r>
        <w:rPr>
          <w:rFonts w:cs="Arial"/>
          <w:i/>
          <w:sz w:val="22"/>
          <w:szCs w:val="22"/>
        </w:rPr>
        <w:t xml:space="preserve"> 13/2010</w:t>
      </w:r>
      <w:r>
        <w:rPr>
          <w:rFonts w:cs="Arial"/>
          <w:sz w:val="22"/>
          <w:szCs w:val="22"/>
        </w:rPr>
        <w:t>),</w:t>
      </w:r>
      <w:proofErr w:type="spellStart"/>
      <w:r>
        <w:rPr>
          <w:rFonts w:cs="Arial"/>
          <w:sz w:val="22"/>
          <w:szCs w:val="22"/>
        </w:rPr>
        <w:t>стечајни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управник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стечајног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дужника</w:t>
      </w:r>
      <w:proofErr w:type="spellEnd"/>
    </w:p>
    <w:p w14:paraId="0FBA7E42" w14:textId="77777777" w:rsidR="00C62054" w:rsidRDefault="00C62054" w:rsidP="00C62054">
      <w:pPr>
        <w:pStyle w:val="Standard"/>
        <w:jc w:val="center"/>
        <w:rPr>
          <w:rFonts w:cs="Arial"/>
          <w:b/>
          <w:sz w:val="22"/>
          <w:szCs w:val="22"/>
        </w:rPr>
      </w:pPr>
    </w:p>
    <w:p w14:paraId="008A5E5B" w14:textId="77777777" w:rsidR="00C62054" w:rsidRDefault="00C62054" w:rsidP="00C62054">
      <w:pPr>
        <w:pStyle w:val="Standard"/>
        <w:rPr>
          <w:rFonts w:cs="Arial"/>
          <w:b/>
          <w:sz w:val="22"/>
          <w:szCs w:val="22"/>
        </w:rPr>
      </w:pPr>
    </w:p>
    <w:p w14:paraId="57527B42" w14:textId="77777777" w:rsidR="00C62054" w:rsidRDefault="00C62054" w:rsidP="00C62054">
      <w:pPr>
        <w:pStyle w:val="Standard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ДП,</w:t>
      </w:r>
      <w:proofErr w:type="gramStart"/>
      <w:r>
        <w:rPr>
          <w:rFonts w:cs="Arial"/>
          <w:b/>
          <w:sz w:val="22"/>
          <w:szCs w:val="22"/>
        </w:rPr>
        <w:t>,НОВИ</w:t>
      </w:r>
      <w:proofErr w:type="gramEnd"/>
      <w:r>
        <w:rPr>
          <w:rFonts w:cs="Arial"/>
          <w:b/>
          <w:sz w:val="22"/>
          <w:szCs w:val="22"/>
        </w:rPr>
        <w:t xml:space="preserve"> ДОМ </w:t>
      </w:r>
      <w:proofErr w:type="spellStart"/>
      <w:r>
        <w:rPr>
          <w:rFonts w:cs="Arial"/>
          <w:b/>
          <w:sz w:val="22"/>
          <w:szCs w:val="22"/>
        </w:rPr>
        <w:t>СТОЛАРИЈА"у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стечају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из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Дебељаче,СветозараМарковића</w:t>
      </w:r>
      <w:proofErr w:type="spellEnd"/>
      <w:r>
        <w:rPr>
          <w:rFonts w:cs="Arial"/>
          <w:b/>
          <w:sz w:val="22"/>
          <w:szCs w:val="22"/>
        </w:rPr>
        <w:t xml:space="preserve"> бр.62</w:t>
      </w:r>
    </w:p>
    <w:p w14:paraId="124F87A5" w14:textId="77777777" w:rsidR="00C62054" w:rsidRDefault="00C62054" w:rsidP="00C62054">
      <w:pPr>
        <w:pStyle w:val="Standard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14:paraId="10137CC4" w14:textId="77777777" w:rsidR="00C62054" w:rsidRDefault="00C62054" w:rsidP="00C62054">
      <w:pPr>
        <w:pStyle w:val="Standard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ОГЛАШАВА</w:t>
      </w:r>
    </w:p>
    <w:p w14:paraId="56A62B0A" w14:textId="77777777" w:rsidR="00C62054" w:rsidRDefault="00C62054" w:rsidP="00C62054">
      <w:pPr>
        <w:pStyle w:val="Standard"/>
        <w:jc w:val="center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Продају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имовине</w:t>
      </w:r>
      <w:proofErr w:type="spellEnd"/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  <w:lang w:val="sr-Cyrl-RS"/>
        </w:rPr>
        <w:t>методом</w:t>
      </w:r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јавн</w:t>
      </w:r>
      <w:r>
        <w:rPr>
          <w:rFonts w:cs="Arial"/>
          <w:b/>
          <w:sz w:val="22"/>
          <w:szCs w:val="22"/>
          <w:lang w:val="sr-Cyrl-RS"/>
        </w:rPr>
        <w:t>ог</w:t>
      </w:r>
      <w:proofErr w:type="spellEnd"/>
      <w:r>
        <w:rPr>
          <w:rFonts w:cs="Arial"/>
          <w:b/>
          <w:sz w:val="22"/>
          <w:szCs w:val="22"/>
          <w:lang w:val="sr-Cyrl-RS"/>
        </w:rPr>
        <w:t xml:space="preserve"> прикупљања понуда </w:t>
      </w:r>
    </w:p>
    <w:p w14:paraId="3FCE158B" w14:textId="77777777" w:rsidR="00C62054" w:rsidRDefault="00C62054" w:rsidP="00C62054">
      <w:pPr>
        <w:pStyle w:val="Standard"/>
        <w:jc w:val="both"/>
        <w:rPr>
          <w:rFonts w:cs="Arial"/>
          <w:b/>
          <w:sz w:val="22"/>
          <w:szCs w:val="22"/>
        </w:rPr>
      </w:pPr>
    </w:p>
    <w:p w14:paraId="601D5973" w14:textId="77777777" w:rsidR="00C62054" w:rsidRDefault="00C62054" w:rsidP="00C62054">
      <w:pPr>
        <w:pStyle w:val="Standard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5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0"/>
        <w:gridCol w:w="3941"/>
        <w:gridCol w:w="1979"/>
        <w:gridCol w:w="1635"/>
      </w:tblGrid>
      <w:tr w:rsidR="00C62054" w14:paraId="4F25B7DD" w14:textId="77777777" w:rsidTr="00C62054">
        <w:trPr>
          <w:trHeight w:val="206"/>
        </w:trPr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7674" w14:textId="77777777" w:rsidR="00C62054" w:rsidRDefault="00C62054">
            <w:pPr>
              <w:pStyle w:val="Standard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целине</w:t>
            </w:r>
            <w:proofErr w:type="spellEnd"/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2CA2" w14:textId="77777777" w:rsidR="00C62054" w:rsidRDefault="00C62054">
            <w:pPr>
              <w:pStyle w:val="Standard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Опис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целине</w:t>
            </w:r>
            <w:proofErr w:type="spellEnd"/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B43A7" w14:textId="77777777" w:rsidR="00C62054" w:rsidRDefault="00C62054">
            <w:pPr>
              <w:pStyle w:val="Standard"/>
              <w:snapToGri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П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  <w:lang w:val="sr-Cyrl-RS"/>
              </w:rPr>
              <w:t>роцењена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  <w:lang w:val="sr-Cyrl-RS"/>
              </w:rPr>
              <w:t xml:space="preserve"> вредност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40CD" w14:textId="77777777" w:rsidR="00C62054" w:rsidRDefault="00C62054">
            <w:pPr>
              <w:pStyle w:val="Standard"/>
              <w:snapToGri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Депозит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62054" w14:paraId="4A5C6820" w14:textId="77777777" w:rsidTr="00C62054">
        <w:trPr>
          <w:trHeight w:val="2937"/>
        </w:trPr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6662" w14:textId="77777777" w:rsidR="00C62054" w:rsidRDefault="00C62054">
            <w:pPr>
              <w:pStyle w:val="Standard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5163BA48" w14:textId="77777777" w:rsidR="00C62054" w:rsidRDefault="00C62054">
            <w:pPr>
              <w:pStyle w:val="Standard"/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Целина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 xml:space="preserve"> 1</w:t>
            </w:r>
          </w:p>
          <w:p w14:paraId="79EE3F95" w14:textId="77777777" w:rsidR="00C62054" w:rsidRDefault="00C62054">
            <w:pPr>
              <w:pStyle w:val="Standard"/>
              <w:rPr>
                <w:rFonts w:cs="Arial"/>
                <w:color w:val="000000"/>
                <w:sz w:val="20"/>
                <w:szCs w:val="20"/>
              </w:rPr>
            </w:pPr>
          </w:p>
          <w:p w14:paraId="440A38C1" w14:textId="77777777" w:rsidR="00C62054" w:rsidRDefault="00C62054">
            <w:pPr>
              <w:pStyle w:val="Standard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непокретна</w:t>
            </w:r>
            <w:proofErr w:type="spellEnd"/>
          </w:p>
          <w:p w14:paraId="5730273E" w14:textId="77777777" w:rsidR="00C62054" w:rsidRDefault="00C62054">
            <w:pPr>
              <w:pStyle w:val="Standard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имовина</w:t>
            </w:r>
            <w:proofErr w:type="spellEnd"/>
          </w:p>
          <w:p w14:paraId="6D5E5B46" w14:textId="77777777" w:rsidR="00C62054" w:rsidRDefault="00C62054">
            <w:pPr>
              <w:pStyle w:val="Standard"/>
            </w:pP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07FE5" w14:textId="77777777" w:rsidR="00C62054" w:rsidRDefault="00C62054">
            <w:pPr>
              <w:pStyle w:val="Standard"/>
              <w:tabs>
                <w:tab w:val="left" w:pos="720"/>
              </w:tabs>
              <w:jc w:val="both"/>
            </w:pPr>
          </w:p>
          <w:p w14:paraId="5A974A95" w14:textId="77777777" w:rsidR="00C62054" w:rsidRDefault="00C62054">
            <w:pPr>
              <w:pStyle w:val="Standard"/>
              <w:tabs>
                <w:tab w:val="left" w:pos="720"/>
              </w:tabs>
              <w:jc w:val="both"/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Објекат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дрвне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индустрије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индустријенамештаја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производње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папира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- ПРОИЗВОДНА ХАЛА, у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Дебељачи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ул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Светозара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Марковића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Пр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површине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 4860 м2,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изграђен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кат.парц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1939/2,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уписан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лист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непокретности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бр.2658, КО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Дебељача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као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зграда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бр.1</w:t>
            </w:r>
          </w:p>
          <w:p w14:paraId="79152086" w14:textId="77777777" w:rsidR="00C62054" w:rsidRDefault="00C62054">
            <w:pPr>
              <w:pStyle w:val="ListParagraph"/>
              <w:tabs>
                <w:tab w:val="left" w:pos="720"/>
              </w:tabs>
              <w:ind w:left="0"/>
              <w:jc w:val="both"/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DB22F" w14:textId="77777777" w:rsidR="00C62054" w:rsidRDefault="00C62054">
            <w:pPr>
              <w:pStyle w:val="Standard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35.854.680</w:t>
            </w:r>
            <w:r>
              <w:rPr>
                <w:b/>
                <w:sz w:val="20"/>
                <w:szCs w:val="20"/>
              </w:rPr>
              <w:t xml:space="preserve">,00 </w:t>
            </w:r>
            <w:proofErr w:type="spellStart"/>
            <w:r>
              <w:rPr>
                <w:b/>
                <w:sz w:val="20"/>
                <w:szCs w:val="20"/>
              </w:rPr>
              <w:t>динара</w:t>
            </w:r>
            <w:proofErr w:type="spellEnd"/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99880" w14:textId="77777777" w:rsidR="00C62054" w:rsidRDefault="00C62054">
            <w:pPr>
              <w:pStyle w:val="Standard"/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RS"/>
              </w:rPr>
              <w:t>7.170.936</w:t>
            </w:r>
            <w:r>
              <w:rPr>
                <w:rFonts w:cs="Arial"/>
                <w:b/>
                <w:sz w:val="20"/>
                <w:szCs w:val="20"/>
              </w:rPr>
              <w:t xml:space="preserve">,00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динара</w:t>
            </w:r>
            <w:proofErr w:type="spellEnd"/>
          </w:p>
        </w:tc>
      </w:tr>
    </w:tbl>
    <w:p w14:paraId="5613769B" w14:textId="77777777" w:rsidR="00C62054" w:rsidRDefault="00C62054" w:rsidP="00C62054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43B9F020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Напомена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Опис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непокретности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статус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исте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детаљно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приказан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Продајној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документацији</w:t>
      </w:r>
      <w:proofErr w:type="spellEnd"/>
    </w:p>
    <w:p w14:paraId="4F3DD0F8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</w:p>
    <w:p w14:paraId="11868FAA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Процењена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имовине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минимално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прихватљива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начин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обавезујућа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опредељујућа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приликом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одређивања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висине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понуде</w:t>
      </w:r>
      <w:proofErr w:type="spellEnd"/>
      <w:r>
        <w:rPr>
          <w:sz w:val="22"/>
          <w:szCs w:val="22"/>
        </w:rPr>
        <w:t xml:space="preserve">. </w:t>
      </w:r>
    </w:p>
    <w:p w14:paraId="724230DD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</w:p>
    <w:p w14:paraId="705992C1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Стечајни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дужан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прихвати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највишу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достављену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уколико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изнад</w:t>
      </w:r>
      <w:proofErr w:type="spellEnd"/>
      <w:r>
        <w:rPr>
          <w:sz w:val="22"/>
          <w:szCs w:val="22"/>
        </w:rPr>
        <w:t xml:space="preserve"> 50%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процењене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продаје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Ако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највиша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достављена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50%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процењене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стечајни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дужан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прихватања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добије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сагласност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одбора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поверилаца</w:t>
      </w:r>
      <w:proofErr w:type="spellEnd"/>
      <w:r>
        <w:rPr>
          <w:sz w:val="22"/>
          <w:szCs w:val="22"/>
        </w:rPr>
        <w:t>.</w:t>
      </w:r>
    </w:p>
    <w:p w14:paraId="375FFBB6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</w:p>
    <w:p w14:paraId="784849DC" w14:textId="77777777" w:rsidR="00C62054" w:rsidRDefault="00C62054" w:rsidP="00C62054">
      <w:pPr>
        <w:pStyle w:val="Standard"/>
        <w:rPr>
          <w:sz w:val="22"/>
          <w:szCs w:val="22"/>
        </w:rPr>
      </w:pPr>
    </w:p>
    <w:p w14:paraId="08466779" w14:textId="77777777" w:rsidR="00C62054" w:rsidRDefault="00C62054" w:rsidP="00C62054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Право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учешће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поступку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физичка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>:</w:t>
      </w:r>
    </w:p>
    <w:p w14:paraId="0FFC4BD3" w14:textId="77777777" w:rsidR="00C62054" w:rsidRDefault="00C62054" w:rsidP="00C62054">
      <w:pPr>
        <w:pStyle w:val="Standard"/>
        <w:rPr>
          <w:sz w:val="22"/>
          <w:szCs w:val="22"/>
        </w:rPr>
      </w:pPr>
    </w:p>
    <w:p w14:paraId="5CF5A056" w14:textId="77777777" w:rsidR="00C62054" w:rsidRDefault="00C62054" w:rsidP="00C62054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након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добијања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профактуре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изврше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уплату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откупа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износу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30.000 </w:t>
      </w:r>
      <w:proofErr w:type="spellStart"/>
      <w:r>
        <w:rPr>
          <w:b/>
          <w:bCs/>
          <w:sz w:val="22"/>
          <w:szCs w:val="22"/>
        </w:rPr>
        <w:t>динара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Профактура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преузети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адреси</w:t>
      </w:r>
      <w:proofErr w:type="spellEnd"/>
      <w:r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 xml:space="preserve">у  </w:t>
      </w:r>
      <w:proofErr w:type="spellStart"/>
      <w:r>
        <w:rPr>
          <w:sz w:val="22"/>
          <w:szCs w:val="22"/>
        </w:rPr>
        <w:t>Београду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ул.Теразије</w:t>
      </w:r>
      <w:proofErr w:type="spellEnd"/>
      <w:r>
        <w:rPr>
          <w:sz w:val="22"/>
          <w:szCs w:val="22"/>
        </w:rPr>
        <w:t xml:space="preserve"> бр.31 </w:t>
      </w:r>
      <w:proofErr w:type="spellStart"/>
      <w:r>
        <w:rPr>
          <w:sz w:val="22"/>
          <w:szCs w:val="22"/>
        </w:rPr>
        <w:t>међуспрат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Агенција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Нибор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сваког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периоду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11:00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14:00 </w:t>
      </w:r>
      <w:proofErr w:type="spellStart"/>
      <w:r>
        <w:rPr>
          <w:sz w:val="22"/>
          <w:szCs w:val="22"/>
        </w:rPr>
        <w:t>часова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претходну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најаву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телефон</w:t>
      </w:r>
      <w:proofErr w:type="spellEnd"/>
      <w:r>
        <w:rPr>
          <w:sz w:val="22"/>
          <w:szCs w:val="22"/>
        </w:rPr>
        <w:t xml:space="preserve"> 066/8307035</w:t>
      </w:r>
      <w:r>
        <w:rPr>
          <w:sz w:val="22"/>
          <w:szCs w:val="22"/>
          <w:lang w:val="sr-Cyrl-RS"/>
        </w:rPr>
        <w:t xml:space="preserve"> или 063</w:t>
      </w:r>
      <w:r>
        <w:rPr>
          <w:sz w:val="22"/>
          <w:szCs w:val="22"/>
          <w:lang w:val="sr-Latn-RS"/>
        </w:rPr>
        <w:t>/</w:t>
      </w:r>
      <w:r>
        <w:rPr>
          <w:sz w:val="22"/>
          <w:szCs w:val="22"/>
          <w:lang w:val="sr-Cyrl-RS"/>
        </w:rPr>
        <w:t xml:space="preserve">7707023 најкасније до  </w:t>
      </w:r>
      <w:r>
        <w:rPr>
          <w:sz w:val="22"/>
          <w:szCs w:val="22"/>
        </w:rPr>
        <w:t xml:space="preserve">12.02.2020.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>
        <w:rPr>
          <w:sz w:val="22"/>
          <w:szCs w:val="22"/>
        </w:rPr>
        <w:t>.</w:t>
      </w:r>
    </w:p>
    <w:p w14:paraId="5614F668" w14:textId="77777777" w:rsidR="00C62054" w:rsidRDefault="00C62054" w:rsidP="00C62054">
      <w:pPr>
        <w:pStyle w:val="Standard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sr-Cyrl-RS"/>
        </w:rPr>
        <w:t>у</w:t>
      </w:r>
      <w:proofErr w:type="spellStart"/>
      <w:r>
        <w:rPr>
          <w:sz w:val="22"/>
          <w:szCs w:val="22"/>
        </w:rPr>
        <w:t>плате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текући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рачун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дужника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рачун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105-2155302-46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код</w:t>
      </w:r>
      <w:proofErr w:type="spellEnd"/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 xml:space="preserve">AIK BANKA А.Д. </w:t>
      </w:r>
      <w:proofErr w:type="spellStart"/>
      <w:r>
        <w:rPr>
          <w:sz w:val="22"/>
          <w:szCs w:val="22"/>
        </w:rPr>
        <w:t>Београд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положе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неопозиву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првокласну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банкарску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наплативу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позив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најкасније</w:t>
      </w:r>
      <w:proofErr w:type="spellEnd"/>
      <w:r>
        <w:rPr>
          <w:sz w:val="22"/>
          <w:szCs w:val="22"/>
        </w:rPr>
        <w:t xml:space="preserve"> 5 </w:t>
      </w:r>
      <w:proofErr w:type="spellStart"/>
      <w:r>
        <w:rPr>
          <w:sz w:val="22"/>
          <w:szCs w:val="22"/>
        </w:rPr>
        <w:t>радних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одржавања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продаје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рок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за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уплату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депозита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је</w:t>
      </w:r>
      <w:proofErr w:type="spellEnd"/>
      <w:r>
        <w:rPr>
          <w:b/>
          <w:bCs/>
          <w:sz w:val="22"/>
          <w:szCs w:val="22"/>
        </w:rPr>
        <w:t xml:space="preserve"> 12.02.2020. </w:t>
      </w:r>
      <w:proofErr w:type="spellStart"/>
      <w:r>
        <w:rPr>
          <w:b/>
          <w:bCs/>
          <w:sz w:val="22"/>
          <w:szCs w:val="22"/>
        </w:rPr>
        <w:t>године</w:t>
      </w:r>
      <w:proofErr w:type="spellEnd"/>
      <w:r>
        <w:rPr>
          <w:sz w:val="22"/>
          <w:szCs w:val="22"/>
        </w:rPr>
        <w:t>).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случају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положи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првокласна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банкарска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оригинал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провере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искључиво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лично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Служби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финансија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Агенције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лиценцирање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управника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Београд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Теразије</w:t>
      </w:r>
      <w:proofErr w:type="spellEnd"/>
      <w:r>
        <w:rPr>
          <w:sz w:val="22"/>
          <w:szCs w:val="22"/>
        </w:rPr>
        <w:t xml:space="preserve"> 23, 6. </w:t>
      </w:r>
      <w:proofErr w:type="spellStart"/>
      <w:proofErr w:type="gramStart"/>
      <w:r>
        <w:rPr>
          <w:sz w:val="22"/>
          <w:szCs w:val="22"/>
        </w:rPr>
        <w:t>спрат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најкасније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sr-Cyrl-RS"/>
        </w:rPr>
        <w:t>12</w:t>
      </w:r>
      <w:r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  <w:lang w:val="sr-Cyrl-RS"/>
        </w:rPr>
        <w:t>2</w:t>
      </w:r>
      <w:r>
        <w:rPr>
          <w:b/>
          <w:bCs/>
          <w:sz w:val="22"/>
          <w:szCs w:val="22"/>
        </w:rPr>
        <w:t xml:space="preserve">.2020. </w:t>
      </w:r>
      <w:proofErr w:type="spellStart"/>
      <w:proofErr w:type="gramStart"/>
      <w:r>
        <w:rPr>
          <w:b/>
          <w:bCs/>
          <w:sz w:val="22"/>
          <w:szCs w:val="22"/>
        </w:rPr>
        <w:t>године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до</w:t>
      </w:r>
      <w:proofErr w:type="spellEnd"/>
      <w:r>
        <w:rPr>
          <w:b/>
          <w:bCs/>
          <w:sz w:val="22"/>
          <w:szCs w:val="22"/>
        </w:rPr>
        <w:t xml:space="preserve"> 15:00 </w:t>
      </w:r>
      <w:proofErr w:type="spellStart"/>
      <w:r>
        <w:rPr>
          <w:b/>
          <w:bCs/>
          <w:sz w:val="22"/>
          <w:szCs w:val="22"/>
        </w:rPr>
        <w:t>часова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београдском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времену</w:t>
      </w:r>
      <w:proofErr w:type="spellEnd"/>
      <w:r>
        <w:rPr>
          <w:sz w:val="22"/>
          <w:szCs w:val="22"/>
        </w:rPr>
        <w:t xml:space="preserve"> (GMT+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 xml:space="preserve">). У </w:t>
      </w:r>
      <w:proofErr w:type="spellStart"/>
      <w:r>
        <w:rPr>
          <w:sz w:val="22"/>
          <w:szCs w:val="22"/>
        </w:rPr>
        <w:t>обзир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узети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банкарске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пристигну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назначену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адресу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назначено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време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b/>
          <w:bCs/>
          <w:sz w:val="22"/>
          <w:szCs w:val="22"/>
        </w:rPr>
        <w:t>Банкарска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гаранција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мора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имати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рок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важења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до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sr-Cyrl-RS"/>
        </w:rPr>
        <w:t>19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sr-Cyrl-RS"/>
        </w:rPr>
        <w:t>04</w:t>
      </w:r>
      <w:r>
        <w:rPr>
          <w:b/>
          <w:bCs/>
          <w:sz w:val="22"/>
          <w:szCs w:val="22"/>
        </w:rPr>
        <w:t xml:space="preserve">.2020. </w:t>
      </w:r>
      <w:proofErr w:type="spellStart"/>
      <w:proofErr w:type="gramStart"/>
      <w:r>
        <w:rPr>
          <w:b/>
          <w:bCs/>
          <w:sz w:val="22"/>
          <w:szCs w:val="22"/>
        </w:rPr>
        <w:t>године</w:t>
      </w:r>
      <w:proofErr w:type="spellEnd"/>
      <w:proofErr w:type="gramEnd"/>
      <w:r>
        <w:rPr>
          <w:b/>
          <w:bCs/>
          <w:sz w:val="22"/>
          <w:szCs w:val="22"/>
        </w:rPr>
        <w:t>.</w:t>
      </w:r>
    </w:p>
    <w:p w14:paraId="7D3DD496" w14:textId="77777777" w:rsidR="00C62054" w:rsidRDefault="00C62054" w:rsidP="00C62054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потпишу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изјаву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губитку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повраћај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Изјава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саставни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документације</w:t>
      </w:r>
      <w:proofErr w:type="spellEnd"/>
      <w:r>
        <w:rPr>
          <w:sz w:val="22"/>
          <w:szCs w:val="22"/>
        </w:rPr>
        <w:t>.</w:t>
      </w:r>
    </w:p>
    <w:p w14:paraId="48117268" w14:textId="77777777" w:rsidR="00C62054" w:rsidRDefault="00C62054" w:rsidP="00C62054">
      <w:pPr>
        <w:pStyle w:val="Standard"/>
        <w:rPr>
          <w:sz w:val="22"/>
          <w:szCs w:val="22"/>
        </w:rPr>
      </w:pPr>
    </w:p>
    <w:p w14:paraId="605ED99E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Имовина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купује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виђеном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стању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може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разгледати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након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откупа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сваким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12:00 до14:00 </w:t>
      </w:r>
      <w:proofErr w:type="spellStart"/>
      <w:r>
        <w:rPr>
          <w:sz w:val="22"/>
          <w:szCs w:val="22"/>
        </w:rPr>
        <w:t>часова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најкасније</w:t>
      </w:r>
      <w:proofErr w:type="spellEnd"/>
      <w:r>
        <w:rPr>
          <w:sz w:val="22"/>
          <w:szCs w:val="22"/>
        </w:rPr>
        <w:t xml:space="preserve"> 7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заказане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продаје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уз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претходну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најаву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поверенику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управника</w:t>
      </w:r>
      <w:proofErr w:type="spellEnd"/>
      <w:r>
        <w:rPr>
          <w:sz w:val="22"/>
          <w:szCs w:val="22"/>
        </w:rPr>
        <w:t>).</w:t>
      </w:r>
    </w:p>
    <w:p w14:paraId="31CF7A6F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</w:p>
    <w:p w14:paraId="7F98CDB6" w14:textId="77777777" w:rsidR="00C62054" w:rsidRDefault="00C62054" w:rsidP="00C62054">
      <w:pPr>
        <w:pStyle w:val="Standard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Затворене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понуде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достављају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адресу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Агенција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за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лиценцирање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стечајних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управника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Београд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Теразије</w:t>
      </w:r>
      <w:proofErr w:type="spellEnd"/>
      <w:r>
        <w:rPr>
          <w:b/>
          <w:bCs/>
          <w:sz w:val="22"/>
          <w:szCs w:val="22"/>
        </w:rPr>
        <w:t xml:space="preserve"> 23, III </w:t>
      </w:r>
      <w:proofErr w:type="spellStart"/>
      <w:r>
        <w:rPr>
          <w:b/>
          <w:bCs/>
          <w:sz w:val="22"/>
          <w:szCs w:val="22"/>
        </w:rPr>
        <w:t>спрат</w:t>
      </w:r>
      <w:proofErr w:type="spellEnd"/>
      <w:r>
        <w:rPr>
          <w:b/>
          <w:bCs/>
          <w:sz w:val="22"/>
          <w:szCs w:val="22"/>
          <w:lang w:val="sr-Cyrl-RS"/>
        </w:rPr>
        <w:t>, сала 301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sr-Cyrl-RS"/>
        </w:rPr>
        <w:t xml:space="preserve"> </w:t>
      </w:r>
      <w:proofErr w:type="spellStart"/>
      <w:r>
        <w:rPr>
          <w:b/>
          <w:bCs/>
          <w:sz w:val="22"/>
          <w:szCs w:val="22"/>
        </w:rPr>
        <w:t>Крајњи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рок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за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достављање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понуда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је</w:t>
      </w:r>
      <w:proofErr w:type="spellEnd"/>
      <w:r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  <w:lang w:val="sr-Cyrl-RS"/>
        </w:rPr>
        <w:t>9</w:t>
      </w:r>
      <w:r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  <w:lang w:val="sr-Cyrl-RS"/>
        </w:rPr>
        <w:t>2</w:t>
      </w:r>
      <w:r>
        <w:rPr>
          <w:b/>
          <w:bCs/>
          <w:sz w:val="22"/>
          <w:szCs w:val="22"/>
        </w:rPr>
        <w:t xml:space="preserve">.2020. </w:t>
      </w:r>
      <w:proofErr w:type="spellStart"/>
      <w:proofErr w:type="gramStart"/>
      <w:r>
        <w:rPr>
          <w:b/>
          <w:bCs/>
          <w:sz w:val="22"/>
          <w:szCs w:val="22"/>
        </w:rPr>
        <w:t>године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до</w:t>
      </w:r>
      <w:proofErr w:type="spellEnd"/>
      <w:r>
        <w:rPr>
          <w:b/>
          <w:bCs/>
          <w:sz w:val="22"/>
          <w:szCs w:val="22"/>
        </w:rPr>
        <w:t xml:space="preserve"> 10</w:t>
      </w:r>
      <w:r>
        <w:rPr>
          <w:b/>
          <w:bCs/>
          <w:sz w:val="22"/>
          <w:szCs w:val="22"/>
          <w:lang w:val="sr-Cyrl-RS"/>
        </w:rPr>
        <w:t>:45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часова</w:t>
      </w:r>
      <w:proofErr w:type="spellEnd"/>
      <w:r>
        <w:rPr>
          <w:b/>
          <w:bCs/>
          <w:sz w:val="22"/>
          <w:szCs w:val="22"/>
        </w:rPr>
        <w:t>.</w:t>
      </w:r>
    </w:p>
    <w:p w14:paraId="2418B3B5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</w:p>
    <w:p w14:paraId="62B2F281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разматрање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узети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писаној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форми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достављене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запечаћеним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ковертама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назнаком</w:t>
      </w:r>
      <w:proofErr w:type="spellEnd"/>
      <w:r>
        <w:rPr>
          <w:sz w:val="22"/>
          <w:szCs w:val="22"/>
        </w:rPr>
        <w:t xml:space="preserve"> ''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''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коверти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називом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целине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односи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које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пристигну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назначену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адресу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назначеног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времена</w:t>
      </w:r>
      <w:proofErr w:type="spellEnd"/>
      <w:r>
        <w:rPr>
          <w:sz w:val="22"/>
          <w:szCs w:val="22"/>
        </w:rPr>
        <w:t xml:space="preserve">. </w:t>
      </w:r>
    </w:p>
    <w:p w14:paraId="060E3135" w14:textId="77777777" w:rsidR="00C62054" w:rsidRDefault="00C62054" w:rsidP="00C62054">
      <w:pPr>
        <w:pStyle w:val="Standard"/>
        <w:rPr>
          <w:sz w:val="22"/>
          <w:szCs w:val="22"/>
        </w:rPr>
      </w:pPr>
    </w:p>
    <w:p w14:paraId="698278C5" w14:textId="77777777" w:rsidR="00C62054" w:rsidRDefault="00C62054" w:rsidP="00C62054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Запечаћена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коверта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треба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садржи</w:t>
      </w:r>
      <w:proofErr w:type="spellEnd"/>
      <w:r>
        <w:rPr>
          <w:sz w:val="22"/>
          <w:szCs w:val="22"/>
        </w:rPr>
        <w:t>:</w:t>
      </w:r>
    </w:p>
    <w:p w14:paraId="4D601873" w14:textId="77777777" w:rsidR="00C62054" w:rsidRDefault="00C62054" w:rsidP="00C6205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пријаву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учешће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поступку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прикупљања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>;</w:t>
      </w:r>
    </w:p>
    <w:p w14:paraId="7A96C96B" w14:textId="77777777" w:rsidR="00C62054" w:rsidRDefault="00C62054" w:rsidP="00C6205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потписану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навођење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одређеног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куповину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продаје</w:t>
      </w:r>
      <w:proofErr w:type="spellEnd"/>
      <w:r>
        <w:rPr>
          <w:sz w:val="22"/>
          <w:szCs w:val="22"/>
        </w:rPr>
        <w:t>;</w:t>
      </w:r>
    </w:p>
    <w:p w14:paraId="05B9FF51" w14:textId="77777777" w:rsidR="00C62054" w:rsidRDefault="00C62054" w:rsidP="00C6205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доказ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уплати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копију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банкарске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гаранције</w:t>
      </w:r>
      <w:proofErr w:type="spellEnd"/>
      <w:r>
        <w:rPr>
          <w:sz w:val="22"/>
          <w:szCs w:val="22"/>
        </w:rPr>
        <w:t>;</w:t>
      </w:r>
    </w:p>
    <w:p w14:paraId="4B847A33" w14:textId="77777777" w:rsidR="00C62054" w:rsidRDefault="00C62054" w:rsidP="00C6205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потписану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изјаву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губитку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повраћај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>;</w:t>
      </w:r>
    </w:p>
    <w:p w14:paraId="3450E413" w14:textId="77777777" w:rsidR="00C62054" w:rsidRDefault="00C62054" w:rsidP="00C6205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извод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регистра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привредних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субјеката</w:t>
      </w:r>
      <w:proofErr w:type="spellEnd"/>
      <w:r>
        <w:rPr>
          <w:sz w:val="22"/>
          <w:szCs w:val="22"/>
        </w:rPr>
        <w:t xml:space="preserve"> и ОП </w:t>
      </w:r>
      <w:proofErr w:type="spellStart"/>
      <w:r>
        <w:rPr>
          <w:sz w:val="22"/>
          <w:szCs w:val="22"/>
        </w:rPr>
        <w:t>образац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потенцијални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купац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</w:rPr>
        <w:t>пријављује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лице</w:t>
      </w:r>
      <w:proofErr w:type="spellEnd"/>
      <w:r>
        <w:rPr>
          <w:sz w:val="22"/>
          <w:szCs w:val="22"/>
        </w:rPr>
        <w:t>;</w:t>
      </w:r>
    </w:p>
    <w:p w14:paraId="1E4A75CF" w14:textId="77777777" w:rsidR="00C62054" w:rsidRDefault="00C62054" w:rsidP="00C6205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овлашћење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заступање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oдносно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предузимање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конкретних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радњи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поступку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продаје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</w:p>
    <w:p w14:paraId="299655ED" w14:textId="77777777" w:rsidR="00C62054" w:rsidRDefault="00C62054" w:rsidP="00C6205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пуномоћнике</w:t>
      </w:r>
      <w:proofErr w:type="spellEnd"/>
      <w:proofErr w:type="gramEnd"/>
      <w:r>
        <w:rPr>
          <w:sz w:val="22"/>
          <w:szCs w:val="22"/>
        </w:rPr>
        <w:t>);</w:t>
      </w:r>
    </w:p>
    <w:p w14:paraId="076B22C4" w14:textId="77777777" w:rsidR="00C62054" w:rsidRDefault="00C62054" w:rsidP="00C62054">
      <w:pPr>
        <w:pStyle w:val="Standard"/>
        <w:rPr>
          <w:sz w:val="22"/>
          <w:szCs w:val="22"/>
        </w:rPr>
      </w:pPr>
    </w:p>
    <w:p w14:paraId="34217F7D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Стечајни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разматрати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садрже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одређен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гласи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понуде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позивају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понуде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условом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понуде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позивају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предвиђени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продајној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огласу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понуде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положен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предвиђеном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. </w:t>
      </w:r>
    </w:p>
    <w:p w14:paraId="0424A06D" w14:textId="77777777" w:rsidR="00C62054" w:rsidRDefault="00C62054" w:rsidP="00C62054">
      <w:pPr>
        <w:pStyle w:val="Standard"/>
        <w:rPr>
          <w:sz w:val="22"/>
          <w:szCs w:val="22"/>
        </w:rPr>
      </w:pPr>
    </w:p>
    <w:p w14:paraId="0C2B2A0D" w14:textId="77777777" w:rsidR="00C62054" w:rsidRDefault="00C62054" w:rsidP="00C62054">
      <w:pPr>
        <w:pStyle w:val="Standard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Јавно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отварање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понуда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одржаће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дана</w:t>
      </w:r>
      <w:proofErr w:type="spellEnd"/>
      <w:r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  <w:lang w:val="sr-Cyrl-RS"/>
        </w:rPr>
        <w:t>9</w:t>
      </w:r>
      <w:r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  <w:lang w:val="sr-Cyrl-RS"/>
        </w:rPr>
        <w:t>2</w:t>
      </w:r>
      <w:r>
        <w:rPr>
          <w:b/>
          <w:bCs/>
          <w:sz w:val="22"/>
          <w:szCs w:val="22"/>
        </w:rPr>
        <w:t xml:space="preserve">.2020. </w:t>
      </w:r>
      <w:proofErr w:type="spellStart"/>
      <w:proofErr w:type="gramStart"/>
      <w:r>
        <w:rPr>
          <w:b/>
          <w:bCs/>
          <w:sz w:val="22"/>
          <w:szCs w:val="22"/>
        </w:rPr>
        <w:t>године</w:t>
      </w:r>
      <w:proofErr w:type="spellEnd"/>
      <w:proofErr w:type="gramEnd"/>
      <w:r>
        <w:rPr>
          <w:b/>
          <w:bCs/>
          <w:sz w:val="22"/>
          <w:szCs w:val="22"/>
        </w:rPr>
        <w:t xml:space="preserve"> у 11 </w:t>
      </w:r>
      <w:proofErr w:type="spellStart"/>
      <w:r>
        <w:rPr>
          <w:b/>
          <w:bCs/>
          <w:sz w:val="22"/>
          <w:szCs w:val="22"/>
        </w:rPr>
        <w:t>часова</w:t>
      </w:r>
      <w:proofErr w:type="spellEnd"/>
      <w:r>
        <w:rPr>
          <w:b/>
          <w:bCs/>
          <w:sz w:val="22"/>
          <w:szCs w:val="22"/>
        </w:rPr>
        <w:t xml:space="preserve"> (15 </w:t>
      </w:r>
      <w:proofErr w:type="spellStart"/>
      <w:r>
        <w:rPr>
          <w:b/>
          <w:bCs/>
          <w:sz w:val="22"/>
          <w:szCs w:val="22"/>
        </w:rPr>
        <w:t>минута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истеку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времена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за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прикупљање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понуда</w:t>
      </w:r>
      <w:proofErr w:type="spellEnd"/>
      <w:r>
        <w:rPr>
          <w:b/>
          <w:bCs/>
          <w:sz w:val="22"/>
          <w:szCs w:val="22"/>
        </w:rPr>
        <w:t xml:space="preserve">) </w:t>
      </w:r>
      <w:proofErr w:type="spellStart"/>
      <w:r>
        <w:rPr>
          <w:b/>
          <w:bCs/>
          <w:sz w:val="22"/>
          <w:szCs w:val="22"/>
        </w:rPr>
        <w:t>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адреси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Агенција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за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лиценцирање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стечајних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управника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Београд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Теразије</w:t>
      </w:r>
      <w:proofErr w:type="spellEnd"/>
      <w:r>
        <w:rPr>
          <w:b/>
          <w:bCs/>
          <w:sz w:val="22"/>
          <w:szCs w:val="22"/>
        </w:rPr>
        <w:t xml:space="preserve"> 23, III </w:t>
      </w:r>
      <w:proofErr w:type="spellStart"/>
      <w:r>
        <w:rPr>
          <w:b/>
          <w:bCs/>
          <w:sz w:val="22"/>
          <w:szCs w:val="22"/>
        </w:rPr>
        <w:t>спрат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сала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sr-Cyrl-RS"/>
        </w:rPr>
        <w:t>301</w:t>
      </w:r>
      <w:r>
        <w:rPr>
          <w:b/>
          <w:bCs/>
          <w:sz w:val="22"/>
          <w:szCs w:val="22"/>
        </w:rPr>
        <w:t xml:space="preserve">, у </w:t>
      </w:r>
      <w:proofErr w:type="spellStart"/>
      <w:r>
        <w:rPr>
          <w:b/>
          <w:bCs/>
          <w:sz w:val="22"/>
          <w:szCs w:val="22"/>
        </w:rPr>
        <w:t>присуству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комисије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за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отварање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понуда</w:t>
      </w:r>
      <w:proofErr w:type="spellEnd"/>
      <w:r>
        <w:rPr>
          <w:b/>
          <w:bCs/>
          <w:sz w:val="22"/>
          <w:szCs w:val="22"/>
        </w:rPr>
        <w:t>.</w:t>
      </w:r>
    </w:p>
    <w:p w14:paraId="6EF8EDE4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</w:p>
    <w:p w14:paraId="5ECB345E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Позивају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чланови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одбора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поверилаца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присуствују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отварању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Отварању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приступиће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ако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чланови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одбора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поверилаца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присуствује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продаји</w:t>
      </w:r>
      <w:proofErr w:type="spellEnd"/>
      <w:r>
        <w:rPr>
          <w:sz w:val="22"/>
          <w:szCs w:val="22"/>
        </w:rPr>
        <w:t>.</w:t>
      </w:r>
    </w:p>
    <w:p w14:paraId="34A4F3C2" w14:textId="77777777" w:rsidR="00C62054" w:rsidRDefault="00C62054" w:rsidP="00C62054">
      <w:pPr>
        <w:pStyle w:val="Standard"/>
        <w:rPr>
          <w:sz w:val="22"/>
          <w:szCs w:val="22"/>
        </w:rPr>
      </w:pPr>
    </w:p>
    <w:p w14:paraId="37282BC0" w14:textId="77777777" w:rsidR="00C62054" w:rsidRDefault="00C62054" w:rsidP="00C62054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Стечајни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спроводи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прикупљање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што</w:t>
      </w:r>
      <w:proofErr w:type="spellEnd"/>
      <w:r>
        <w:rPr>
          <w:sz w:val="22"/>
          <w:szCs w:val="22"/>
        </w:rPr>
        <w:t>:</w:t>
      </w:r>
    </w:p>
    <w:p w14:paraId="1B232929" w14:textId="77777777" w:rsidR="00C62054" w:rsidRDefault="00C62054" w:rsidP="00C62054">
      <w:pPr>
        <w:pStyle w:val="Standard"/>
        <w:numPr>
          <w:ilvl w:val="0"/>
          <w:numId w:val="2"/>
        </w:numPr>
        <w:ind w:left="567" w:hanging="294"/>
        <w:rPr>
          <w:sz w:val="22"/>
          <w:szCs w:val="22"/>
        </w:rPr>
      </w:pPr>
      <w:proofErr w:type="spellStart"/>
      <w:r>
        <w:rPr>
          <w:sz w:val="22"/>
          <w:szCs w:val="22"/>
        </w:rPr>
        <w:t>чита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правила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поступку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прикупљања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>,</w:t>
      </w:r>
    </w:p>
    <w:p w14:paraId="2EEEDD84" w14:textId="77777777" w:rsidR="00C62054" w:rsidRDefault="00C62054" w:rsidP="00C62054">
      <w:pPr>
        <w:pStyle w:val="Standard"/>
        <w:numPr>
          <w:ilvl w:val="0"/>
          <w:numId w:val="2"/>
        </w:numPr>
        <w:ind w:left="567" w:hanging="294"/>
        <w:rPr>
          <w:sz w:val="22"/>
          <w:szCs w:val="22"/>
        </w:rPr>
      </w:pPr>
      <w:proofErr w:type="spellStart"/>
      <w:r>
        <w:rPr>
          <w:sz w:val="22"/>
          <w:szCs w:val="22"/>
        </w:rPr>
        <w:t>отвара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достављене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понуде</w:t>
      </w:r>
      <w:proofErr w:type="spellEnd"/>
      <w:r>
        <w:rPr>
          <w:sz w:val="22"/>
          <w:szCs w:val="22"/>
        </w:rPr>
        <w:t>,</w:t>
      </w:r>
    </w:p>
    <w:p w14:paraId="1CB4DFB5" w14:textId="77777777" w:rsidR="00C62054" w:rsidRDefault="00C62054" w:rsidP="00C62054">
      <w:pPr>
        <w:pStyle w:val="Standard"/>
        <w:numPr>
          <w:ilvl w:val="0"/>
          <w:numId w:val="2"/>
        </w:numPr>
        <w:ind w:left="567" w:hanging="294"/>
        <w:rPr>
          <w:sz w:val="22"/>
          <w:szCs w:val="22"/>
        </w:rPr>
      </w:pPr>
      <w:proofErr w:type="spellStart"/>
      <w:r>
        <w:rPr>
          <w:sz w:val="22"/>
          <w:szCs w:val="22"/>
        </w:rPr>
        <w:t>рангира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висини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достављених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>,</w:t>
      </w:r>
    </w:p>
    <w:p w14:paraId="61F6D28E" w14:textId="77777777" w:rsidR="00C62054" w:rsidRDefault="00C62054" w:rsidP="00C62054">
      <w:pPr>
        <w:pStyle w:val="Standard"/>
        <w:numPr>
          <w:ilvl w:val="0"/>
          <w:numId w:val="2"/>
        </w:numPr>
        <w:ind w:left="567" w:hanging="294"/>
        <w:rPr>
          <w:sz w:val="22"/>
          <w:szCs w:val="22"/>
        </w:rPr>
      </w:pPr>
      <w:proofErr w:type="spellStart"/>
      <w:r>
        <w:rPr>
          <w:sz w:val="22"/>
          <w:szCs w:val="22"/>
        </w:rPr>
        <w:t>одржава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прикупљању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>,</w:t>
      </w:r>
    </w:p>
    <w:p w14:paraId="54F88D71" w14:textId="77777777" w:rsidR="00C62054" w:rsidRDefault="00C62054" w:rsidP="00C62054">
      <w:pPr>
        <w:pStyle w:val="Standard"/>
        <w:numPr>
          <w:ilvl w:val="0"/>
          <w:numId w:val="2"/>
        </w:numPr>
        <w:ind w:left="567" w:hanging="294"/>
        <w:rPr>
          <w:sz w:val="22"/>
          <w:szCs w:val="22"/>
        </w:rPr>
      </w:pPr>
      <w:proofErr w:type="spellStart"/>
      <w:r>
        <w:rPr>
          <w:sz w:val="22"/>
          <w:szCs w:val="22"/>
        </w:rPr>
        <w:t>проглашава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најбољег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купца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уколико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највиша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изнад</w:t>
      </w:r>
      <w:proofErr w:type="spellEnd"/>
      <w:r>
        <w:rPr>
          <w:sz w:val="22"/>
          <w:szCs w:val="22"/>
        </w:rPr>
        <w:t xml:space="preserve"> 50%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процењене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продаје</w:t>
      </w:r>
      <w:proofErr w:type="spellEnd"/>
      <w:r>
        <w:rPr>
          <w:sz w:val="22"/>
          <w:szCs w:val="22"/>
        </w:rPr>
        <w:t>,</w:t>
      </w:r>
    </w:p>
    <w:p w14:paraId="5E570B8E" w14:textId="77777777" w:rsidR="00C62054" w:rsidRDefault="00C62054" w:rsidP="00C62054">
      <w:pPr>
        <w:pStyle w:val="Standard"/>
        <w:numPr>
          <w:ilvl w:val="0"/>
          <w:numId w:val="2"/>
        </w:numPr>
        <w:ind w:left="567" w:hanging="294"/>
        <w:rPr>
          <w:sz w:val="22"/>
          <w:szCs w:val="22"/>
        </w:rPr>
      </w:pPr>
      <w:proofErr w:type="spellStart"/>
      <w:r>
        <w:rPr>
          <w:sz w:val="22"/>
          <w:szCs w:val="22"/>
        </w:rPr>
        <w:t>доставља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најбољег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одбору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поверилаца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изјашњење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уколико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нижа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50%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процењене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продаје</w:t>
      </w:r>
      <w:proofErr w:type="spellEnd"/>
      <w:r>
        <w:rPr>
          <w:sz w:val="22"/>
          <w:szCs w:val="22"/>
        </w:rPr>
        <w:t>,</w:t>
      </w:r>
    </w:p>
    <w:p w14:paraId="4C6328D1" w14:textId="77777777" w:rsidR="00C62054" w:rsidRDefault="00C62054" w:rsidP="00C62054">
      <w:pPr>
        <w:pStyle w:val="Standard"/>
        <w:numPr>
          <w:ilvl w:val="0"/>
          <w:numId w:val="2"/>
        </w:numPr>
        <w:ind w:left="567" w:hanging="294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потписује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записник</w:t>
      </w:r>
      <w:proofErr w:type="spellEnd"/>
      <w:r>
        <w:rPr>
          <w:sz w:val="22"/>
          <w:szCs w:val="22"/>
        </w:rPr>
        <w:t>.</w:t>
      </w:r>
    </w:p>
    <w:p w14:paraId="1321B8CA" w14:textId="77777777" w:rsidR="00C62054" w:rsidRDefault="00C62054" w:rsidP="00C62054">
      <w:pPr>
        <w:pStyle w:val="Standard"/>
        <w:rPr>
          <w:sz w:val="22"/>
          <w:szCs w:val="22"/>
        </w:rPr>
      </w:pPr>
    </w:p>
    <w:p w14:paraId="0FBACF37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случају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прикупљању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победи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обезбедио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банкарском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гаранцијом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уплатити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рачун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дужника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радна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обавештења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прихватању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понуде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пре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потписивања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купопродајног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након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враћена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гаранција</w:t>
      </w:r>
      <w:proofErr w:type="spellEnd"/>
      <w:r>
        <w:rPr>
          <w:sz w:val="22"/>
          <w:szCs w:val="22"/>
        </w:rPr>
        <w:t>.</w:t>
      </w:r>
    </w:p>
    <w:p w14:paraId="0CAC1C71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</w:p>
    <w:p w14:paraId="41CBDC04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Купопродајни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потписује</w:t>
      </w:r>
      <w:proofErr w:type="spellEnd"/>
      <w:r>
        <w:rPr>
          <w:sz w:val="22"/>
          <w:szCs w:val="22"/>
          <w:lang w:val="sr-Cyrl-RS"/>
        </w:rPr>
        <w:t xml:space="preserve">  </w:t>
      </w:r>
      <w:proofErr w:type="spellStart"/>
      <w:r>
        <w:rPr>
          <w:sz w:val="22"/>
          <w:szCs w:val="22"/>
        </w:rPr>
        <w:t>под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обезбеђен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уплаћен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рачун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дужника</w:t>
      </w:r>
      <w:proofErr w:type="spellEnd"/>
      <w:r>
        <w:rPr>
          <w:sz w:val="22"/>
          <w:szCs w:val="22"/>
        </w:rPr>
        <w:t>.</w:t>
      </w:r>
    </w:p>
    <w:p w14:paraId="44C44B70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</w:p>
    <w:p w14:paraId="398ED431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Проглашени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дужан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уплати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преостали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купопродајне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15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закључивања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купопродајног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  <w:lang w:val="sr-Cyrl-RS"/>
        </w:rPr>
        <w:t xml:space="preserve"> у законом прописаној форми</w:t>
      </w:r>
      <w:r>
        <w:rPr>
          <w:sz w:val="22"/>
          <w:szCs w:val="22"/>
        </w:rPr>
        <w:t>.</w:t>
      </w:r>
    </w:p>
    <w:p w14:paraId="376F20BC" w14:textId="77777777" w:rsidR="00C62054" w:rsidRDefault="00C62054" w:rsidP="00C62054">
      <w:pPr>
        <w:pStyle w:val="Standard"/>
        <w:rPr>
          <w:sz w:val="22"/>
          <w:szCs w:val="22"/>
        </w:rPr>
      </w:pPr>
    </w:p>
    <w:p w14:paraId="3D47AA55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Стечајни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вратити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сваком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прихваћена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одржавања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прикупљања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Понуђач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губи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повраћај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уколико</w:t>
      </w:r>
      <w:proofErr w:type="spellEnd"/>
      <w:r>
        <w:rPr>
          <w:sz w:val="22"/>
          <w:szCs w:val="22"/>
        </w:rPr>
        <w:t>:</w:t>
      </w:r>
    </w:p>
    <w:p w14:paraId="015E5726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поднесе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поднесе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садржи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обавезне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елементе</w:t>
      </w:r>
      <w:proofErr w:type="spellEnd"/>
      <w:r>
        <w:rPr>
          <w:sz w:val="22"/>
          <w:szCs w:val="22"/>
        </w:rPr>
        <w:t xml:space="preserve">; </w:t>
      </w:r>
    </w:p>
    <w:p w14:paraId="1B41FF3C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потпише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купопродајни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или</w:t>
      </w:r>
      <w:proofErr w:type="spellEnd"/>
    </w:p>
    <w:p w14:paraId="4DE95DA4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буде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проглашен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купца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уплати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купопродајну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цену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предвиђеном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прописани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начин</w:t>
      </w:r>
      <w:proofErr w:type="spellEnd"/>
      <w:r>
        <w:rPr>
          <w:sz w:val="22"/>
          <w:szCs w:val="22"/>
        </w:rPr>
        <w:t xml:space="preserve">. </w:t>
      </w:r>
    </w:p>
    <w:p w14:paraId="0CBA2E71" w14:textId="77777777" w:rsidR="00C62054" w:rsidRDefault="00C62054" w:rsidP="00C62054">
      <w:pPr>
        <w:pStyle w:val="Standard"/>
        <w:rPr>
          <w:sz w:val="22"/>
          <w:szCs w:val="22"/>
        </w:rPr>
      </w:pPr>
    </w:p>
    <w:p w14:paraId="5D94565A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Порезе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трошкове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произилазе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закљученог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купопродајног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целости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сноси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купац</w:t>
      </w:r>
      <w:proofErr w:type="spellEnd"/>
      <w:r>
        <w:rPr>
          <w:sz w:val="22"/>
          <w:szCs w:val="22"/>
        </w:rPr>
        <w:t>.</w:t>
      </w:r>
    </w:p>
    <w:p w14:paraId="1EC1A878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</w:p>
    <w:p w14:paraId="0668BB0B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</w:p>
    <w:p w14:paraId="7ADC585A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Напомена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Није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достављање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оригинала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банкарске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пошиљком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обичном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препорученом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путем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факса</w:t>
      </w:r>
      <w:proofErr w:type="spellEnd"/>
      <w:r>
        <w:rPr>
          <w:sz w:val="22"/>
          <w:szCs w:val="22"/>
        </w:rPr>
        <w:t xml:space="preserve">, mail-a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начин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осим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начин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прописан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тачки</w:t>
      </w:r>
      <w:proofErr w:type="spellEnd"/>
      <w:r>
        <w:rPr>
          <w:sz w:val="22"/>
          <w:szCs w:val="22"/>
        </w:rPr>
        <w:t xml:space="preserve"> 2. </w:t>
      </w:r>
      <w:proofErr w:type="spellStart"/>
      <w:r>
        <w:rPr>
          <w:sz w:val="22"/>
          <w:szCs w:val="22"/>
        </w:rPr>
        <w:t>Услова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стицање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учешће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огласа</w:t>
      </w:r>
      <w:proofErr w:type="spellEnd"/>
      <w:r>
        <w:rPr>
          <w:sz w:val="22"/>
          <w:szCs w:val="22"/>
        </w:rPr>
        <w:t>.</w:t>
      </w:r>
    </w:p>
    <w:p w14:paraId="72368036" w14:textId="77777777" w:rsidR="00C62054" w:rsidRDefault="00C62054" w:rsidP="00C62054">
      <w:pPr>
        <w:pStyle w:val="Standard"/>
        <w:rPr>
          <w:sz w:val="22"/>
          <w:szCs w:val="22"/>
        </w:rPr>
      </w:pPr>
    </w:p>
    <w:p w14:paraId="2FE179D9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</w:p>
    <w:p w14:paraId="780C58C3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</w:p>
    <w:p w14:paraId="0CB6365E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Oвлашћено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лице</w:t>
      </w:r>
      <w:proofErr w:type="spellEnd"/>
      <w:r>
        <w:rPr>
          <w:b/>
          <w:sz w:val="22"/>
          <w:szCs w:val="22"/>
        </w:rPr>
        <w:t>:</w:t>
      </w:r>
      <w:r>
        <w:rPr>
          <w:b/>
          <w:sz w:val="22"/>
          <w:szCs w:val="22"/>
          <w:lang w:val="ru-RU"/>
        </w:rPr>
        <w:t xml:space="preserve"> Повереник Свјетлана Ћосовић Новаковић</w:t>
      </w:r>
    </w:p>
    <w:p w14:paraId="45505BA3" w14:textId="77777777" w:rsidR="00C62054" w:rsidRDefault="00C62054" w:rsidP="00C62054">
      <w:pPr>
        <w:pStyle w:val="Standard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контакт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телефон</w:t>
      </w:r>
      <w:proofErr w:type="spellEnd"/>
      <w:r>
        <w:rPr>
          <w:b/>
          <w:sz w:val="22"/>
          <w:szCs w:val="22"/>
        </w:rPr>
        <w:t>: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 xml:space="preserve">063 770-70-23 </w:t>
      </w:r>
      <w:proofErr w:type="spellStart"/>
      <w:r>
        <w:rPr>
          <w:b/>
          <w:sz w:val="22"/>
          <w:szCs w:val="22"/>
        </w:rPr>
        <w:t>или</w:t>
      </w:r>
      <w:proofErr w:type="spellEnd"/>
      <w:r>
        <w:rPr>
          <w:b/>
          <w:sz w:val="22"/>
          <w:szCs w:val="22"/>
        </w:rPr>
        <w:t xml:space="preserve"> 066 830-70-35.</w:t>
      </w:r>
    </w:p>
    <w:p w14:paraId="36D84B7D" w14:textId="77777777" w:rsidR="0078320D" w:rsidRDefault="0078320D"/>
    <w:sectPr w:rsidR="0078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923F0"/>
    <w:multiLevelType w:val="hybridMultilevel"/>
    <w:tmpl w:val="6F7679B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62426"/>
    <w:multiLevelType w:val="hybridMultilevel"/>
    <w:tmpl w:val="0D8AE926"/>
    <w:lvl w:ilvl="0" w:tplc="F01E3B0E">
      <w:start w:val="1"/>
      <w:numFmt w:val="decimal"/>
      <w:lvlText w:val="%1."/>
      <w:lvlJc w:val="left"/>
      <w:pPr>
        <w:ind w:left="1080" w:hanging="72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54"/>
    <w:rsid w:val="00190824"/>
    <w:rsid w:val="0027236E"/>
    <w:rsid w:val="004F06C6"/>
    <w:rsid w:val="0078320D"/>
    <w:rsid w:val="008E4328"/>
    <w:rsid w:val="009245B7"/>
    <w:rsid w:val="00A66A4D"/>
    <w:rsid w:val="00B10AD7"/>
    <w:rsid w:val="00C62054"/>
    <w:rsid w:val="00E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2148"/>
  <w15:chartTrackingRefBased/>
  <w15:docId w15:val="{3D88FC56-0920-4DE9-ACF6-480446AB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0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sr-Cyrl-BA" w:eastAsia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205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ListParagraph">
    <w:name w:val="List Paragraph"/>
    <w:basedOn w:val="Standard"/>
    <w:qFormat/>
    <w:rsid w:val="00C62054"/>
    <w:pPr>
      <w:ind w:left="720"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AA. Androvic</dc:creator>
  <cp:keywords/>
  <dc:description/>
  <cp:lastModifiedBy>Igor ID. Draskic</cp:lastModifiedBy>
  <cp:revision>2</cp:revision>
  <dcterms:created xsi:type="dcterms:W3CDTF">2020-01-09T07:38:00Z</dcterms:created>
  <dcterms:modified xsi:type="dcterms:W3CDTF">2020-01-09T07:38:00Z</dcterms:modified>
</cp:coreProperties>
</file>